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88688">
      <w:pPr>
        <w:spacing w:after="120" w:line="57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18A0F575">
      <w:pPr>
        <w:spacing w:after="120" w:line="570" w:lineRule="exact"/>
        <w:rPr>
          <w:rFonts w:ascii="仿宋" w:hAnsi="仿宋" w:eastAsia="仿宋" w:cs="仿宋"/>
          <w:sz w:val="32"/>
          <w:szCs w:val="32"/>
        </w:rPr>
      </w:pPr>
    </w:p>
    <w:p w14:paraId="19FAD874">
      <w:pPr>
        <w:spacing w:before="156" w:beforeLines="50" w:after="156" w:afterLines="50" w:line="56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sz w:val="44"/>
          <w:szCs w:val="44"/>
        </w:rPr>
        <w:t>资本市场数据要素专题培训-南京场（上市公司资本市场系列专修班第33期）授课安排（拟）</w:t>
      </w:r>
    </w:p>
    <w:p w14:paraId="78BBC03A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58700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时间：2024年11月28日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（周四）</w:t>
      </w:r>
      <w:r>
        <w:rPr>
          <w:rFonts w:hint="eastAsia" w:ascii="仿宋" w:hAnsi="仿宋" w:eastAsia="仿宋" w:cs="仿宋"/>
          <w:sz w:val="32"/>
          <w:szCs w:val="32"/>
        </w:rPr>
        <w:t>至29日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（周五）</w:t>
      </w:r>
    </w:p>
    <w:p w14:paraId="696F1078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地点：南京银行科教创新园（南京市浦口区海峡大道88号）</w:t>
      </w:r>
    </w:p>
    <w:tbl>
      <w:tblPr>
        <w:tblStyle w:val="4"/>
        <w:tblpPr w:leftFromText="180" w:rightFromText="180" w:vertAnchor="text" w:horzAnchor="page" w:tblpX="1781" w:tblpY="918"/>
        <w:tblOverlap w:val="never"/>
        <w:tblW w:w="85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485"/>
        <w:gridCol w:w="5707"/>
      </w:tblGrid>
      <w:tr w14:paraId="06A76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28" w:type="dxa"/>
            <w:shd w:val="clear" w:color="auto" w:fill="DAE9F7"/>
            <w:noWrap w:val="0"/>
            <w:vAlign w:val="center"/>
          </w:tcPr>
          <w:p w14:paraId="514211EA"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日期</w:t>
            </w:r>
          </w:p>
        </w:tc>
        <w:tc>
          <w:tcPr>
            <w:tcW w:w="1485" w:type="dxa"/>
            <w:shd w:val="clear" w:color="auto" w:fill="DAE9F7"/>
            <w:noWrap w:val="0"/>
            <w:vAlign w:val="center"/>
          </w:tcPr>
          <w:p w14:paraId="16B5ED0A"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主题</w:t>
            </w:r>
          </w:p>
        </w:tc>
        <w:tc>
          <w:tcPr>
            <w:tcW w:w="5707" w:type="dxa"/>
            <w:shd w:val="clear" w:color="auto" w:fill="DAE9F7"/>
            <w:noWrap w:val="0"/>
            <w:vAlign w:val="center"/>
          </w:tcPr>
          <w:p w14:paraId="16ECC63F"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培训内容</w:t>
            </w:r>
          </w:p>
        </w:tc>
      </w:tr>
      <w:tr w14:paraId="09215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28" w:type="dxa"/>
            <w:vMerge w:val="restart"/>
            <w:noWrap w:val="0"/>
            <w:vAlign w:val="center"/>
          </w:tcPr>
          <w:p w14:paraId="7BE509DB"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第一天</w:t>
            </w:r>
          </w:p>
        </w:tc>
        <w:tc>
          <w:tcPr>
            <w:tcW w:w="1485" w:type="dxa"/>
            <w:noWrap w:val="0"/>
            <w:vAlign w:val="center"/>
          </w:tcPr>
          <w:p w14:paraId="4C2529F3"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战略篇</w:t>
            </w:r>
          </w:p>
        </w:tc>
        <w:tc>
          <w:tcPr>
            <w:tcW w:w="5707" w:type="dxa"/>
            <w:noWrap w:val="0"/>
            <w:vAlign w:val="center"/>
          </w:tcPr>
          <w:p w14:paraId="67B13E7E">
            <w:pPr>
              <w:widowControl/>
              <w:spacing w:line="4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数字经济繁荣发展新引擎，数据要素产业背景与展望</w:t>
            </w:r>
          </w:p>
        </w:tc>
      </w:tr>
      <w:tr w14:paraId="720A31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328" w:type="dxa"/>
            <w:vMerge w:val="continue"/>
            <w:noWrap w:val="0"/>
            <w:vAlign w:val="center"/>
          </w:tcPr>
          <w:p w14:paraId="69BF14EE"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85" w:type="dxa"/>
            <w:vMerge w:val="restart"/>
            <w:noWrap w:val="0"/>
            <w:vAlign w:val="center"/>
          </w:tcPr>
          <w:p w14:paraId="16E53F34"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资产篇</w:t>
            </w:r>
          </w:p>
        </w:tc>
        <w:tc>
          <w:tcPr>
            <w:tcW w:w="5707" w:type="dxa"/>
            <w:noWrap w:val="0"/>
            <w:vAlign w:val="center"/>
          </w:tcPr>
          <w:p w14:paraId="67599D8B">
            <w:pPr>
              <w:widowControl/>
              <w:spacing w:line="4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数据要素资产化的实践之路</w:t>
            </w:r>
          </w:p>
        </w:tc>
      </w:tr>
      <w:tr w14:paraId="6523FB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328" w:type="dxa"/>
            <w:vMerge w:val="continue"/>
            <w:noWrap w:val="0"/>
            <w:vAlign w:val="center"/>
          </w:tcPr>
          <w:p w14:paraId="0DA537F2"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 w14:paraId="2378B8D0"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707" w:type="dxa"/>
            <w:noWrap w:val="0"/>
            <w:vAlign w:val="center"/>
          </w:tcPr>
          <w:p w14:paraId="4B8E05ED">
            <w:pPr>
              <w:widowControl/>
              <w:spacing w:line="4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数据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治理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实践</w:t>
            </w:r>
          </w:p>
        </w:tc>
      </w:tr>
      <w:tr w14:paraId="70177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28" w:type="dxa"/>
            <w:vMerge w:val="restart"/>
            <w:noWrap w:val="0"/>
            <w:vAlign w:val="center"/>
          </w:tcPr>
          <w:p w14:paraId="715FCA1A"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第二天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 w14:paraId="275705D7"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运营篇</w:t>
            </w:r>
          </w:p>
        </w:tc>
        <w:tc>
          <w:tcPr>
            <w:tcW w:w="5707" w:type="dxa"/>
            <w:noWrap w:val="0"/>
            <w:vAlign w:val="center"/>
          </w:tcPr>
          <w:p w14:paraId="12B0E2B7">
            <w:pPr>
              <w:widowControl/>
              <w:spacing w:line="4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数据定价与数据资产图谱</w:t>
            </w:r>
          </w:p>
        </w:tc>
      </w:tr>
      <w:tr w14:paraId="41148A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28" w:type="dxa"/>
            <w:vMerge w:val="continue"/>
            <w:noWrap w:val="0"/>
            <w:vAlign w:val="center"/>
          </w:tcPr>
          <w:p w14:paraId="6EA1D5CC"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 w14:paraId="1E4DEFB4"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707" w:type="dxa"/>
            <w:noWrap w:val="0"/>
            <w:vAlign w:val="center"/>
          </w:tcPr>
          <w:p w14:paraId="54F4C644">
            <w:pPr>
              <w:widowControl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数据空间理论与实践</w:t>
            </w:r>
          </w:p>
        </w:tc>
      </w:tr>
      <w:tr w14:paraId="1F2D2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28" w:type="dxa"/>
            <w:vMerge w:val="continue"/>
            <w:noWrap w:val="0"/>
            <w:vAlign w:val="center"/>
          </w:tcPr>
          <w:p w14:paraId="2B5263E3">
            <w:pPr>
              <w:widowControl/>
              <w:spacing w:line="4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85" w:type="dxa"/>
            <w:vMerge w:val="restart"/>
            <w:noWrap w:val="0"/>
            <w:vAlign w:val="center"/>
          </w:tcPr>
          <w:p w14:paraId="1871D13A"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融合篇</w:t>
            </w:r>
          </w:p>
        </w:tc>
        <w:tc>
          <w:tcPr>
            <w:tcW w:w="5707" w:type="dxa"/>
            <w:noWrap w:val="0"/>
            <w:vAlign w:val="center"/>
          </w:tcPr>
          <w:p w14:paraId="43D20DAF">
            <w:pPr>
              <w:widowControl/>
              <w:spacing w:line="4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数智融合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实践案例</w:t>
            </w:r>
          </w:p>
        </w:tc>
      </w:tr>
      <w:tr w14:paraId="795BD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28" w:type="dxa"/>
            <w:vMerge w:val="continue"/>
            <w:noWrap w:val="0"/>
            <w:vAlign w:val="center"/>
          </w:tcPr>
          <w:p w14:paraId="0B7396E0">
            <w:pPr>
              <w:widowControl/>
              <w:spacing w:line="4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 w14:paraId="4AF44577">
            <w:pPr>
              <w:widowControl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707" w:type="dxa"/>
            <w:noWrap w:val="0"/>
            <w:vAlign w:val="center"/>
          </w:tcPr>
          <w:p w14:paraId="50E85444">
            <w:pPr>
              <w:widowControl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数据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流通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合规审核及典型案例</w:t>
            </w:r>
          </w:p>
        </w:tc>
      </w:tr>
      <w:tr w14:paraId="5F4C5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28" w:type="dxa"/>
            <w:vMerge w:val="continue"/>
            <w:noWrap w:val="0"/>
            <w:vAlign w:val="center"/>
          </w:tcPr>
          <w:p w14:paraId="73888312">
            <w:pPr>
              <w:widowControl/>
              <w:spacing w:line="4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 w14:paraId="5B259F84">
            <w:pPr>
              <w:widowControl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707" w:type="dxa"/>
            <w:noWrap w:val="0"/>
            <w:vAlign w:val="center"/>
          </w:tcPr>
          <w:p w14:paraId="7C67FFB7">
            <w:pPr>
              <w:widowControl/>
              <w:spacing w:line="4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数实融合（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制造企业数据管理方法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实践案例</w:t>
            </w:r>
          </w:p>
        </w:tc>
      </w:tr>
    </w:tbl>
    <w:p w14:paraId="18DA4C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</w:pPr>
    </w:p>
    <w:p w14:paraId="35DFCBA0">
      <w:bookmarkStart w:id="0" w:name="_GoBack"/>
      <w:bookmarkEnd w:id="0"/>
    </w:p>
    <w:sectPr>
      <w:footerReference r:id="rId3" w:type="default"/>
      <w:pgSz w:w="11906" w:h="16838"/>
      <w:pgMar w:top="1701" w:right="1134" w:bottom="1134" w:left="113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59EE1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22542A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22542A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1ZGE1OTIwMzk3MTdmZWQ1NDYyYWQ4MDNiOGI3MGMifQ=="/>
  </w:docVars>
  <w:rsids>
    <w:rsidRoot w:val="6B8B1BA1"/>
    <w:rsid w:val="6B8B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 w:val="0"/>
      <w:spacing w:before="100" w:beforeAutospacing="1" w:after="120"/>
      <w:jc w:val="both"/>
    </w:pPr>
    <w:rPr>
      <w:rFonts w:ascii="Calibri" w:hAnsi="Calibri" w:cs="Calibri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2024-11-08T08:49:00Z</dcterms:created>
  <dc:creator>test</dc:creator>
  <cp:lastModifiedBy>test</cp:lastModifiedBy>
  <dcterms:modified xsi:type="dcterms:W3CDTF">2024-11-08T08:49:16Z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FA6DD82A6B594A7BA18D42420B25A662_11</vt:lpwstr>
  </property>
</Properties>
</file>